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483906">
        <w:rPr>
          <w:b/>
          <w:sz w:val="40"/>
        </w:rPr>
        <w:t>November 2</w:t>
      </w:r>
      <w:r w:rsidR="00483906" w:rsidRPr="00483906">
        <w:rPr>
          <w:b/>
          <w:sz w:val="40"/>
          <w:vertAlign w:val="superscript"/>
        </w:rPr>
        <w:t>nd</w:t>
      </w:r>
      <w:r w:rsidR="00483906">
        <w:rPr>
          <w:b/>
          <w:sz w:val="40"/>
          <w:vertAlign w:val="superscript"/>
        </w:rPr>
        <w:t xml:space="preserve"> </w:t>
      </w:r>
      <w:r w:rsidR="00483906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483906">
        <w:rPr>
          <w:b/>
          <w:sz w:val="40"/>
        </w:rPr>
        <w:t>14</w:t>
      </w:r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483906" w:rsidP="005D4D51">
            <w:pPr>
              <w:jc w:val="center"/>
            </w:pPr>
            <w:r>
              <w:rPr>
                <w:sz w:val="20"/>
                <w:szCs w:val="20"/>
              </w:rPr>
              <w:t>November 2,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483906" w:rsidP="005D4D51">
            <w:pPr>
              <w:jc w:val="center"/>
            </w:pPr>
            <w:r>
              <w:rPr>
                <w:sz w:val="20"/>
                <w:szCs w:val="20"/>
              </w:rPr>
              <w:t>November 3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B741F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biomes, including the types of plants and animals found in each biome through leveled reading.</w:t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483906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B3681" wp14:editId="7E96F78F">
                  <wp:extent cx="8124825" cy="506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825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Pr="002E253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E253A" w:rsidRDefault="002E253A" w:rsidP="002E253A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 w:rsidR="00B741FA">
              <w:rPr>
                <w:noProof/>
              </w:rPr>
              <w:t xml:space="preserve"> </w:t>
            </w:r>
          </w:p>
          <w:p w:rsidR="00B741FA" w:rsidRDefault="00483906" w:rsidP="002E253A">
            <w:pPr>
              <w:rPr>
                <w:noProof/>
              </w:rPr>
            </w:pPr>
            <w:r>
              <w:rPr>
                <w:noProof/>
              </w:rPr>
              <w:t xml:space="preserve">          Identify different regions in US</w:t>
            </w:r>
          </w:p>
          <w:p w:rsidR="003B7DE6" w:rsidRPr="00B741FA" w:rsidRDefault="00483906" w:rsidP="00B741F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Describe transportation methods used in US</w:t>
            </w:r>
          </w:p>
          <w:p w:rsidR="00323864" w:rsidRPr="0022657B" w:rsidRDefault="00323864" w:rsidP="00B741FA"/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 xml:space="preserve">on </w:t>
            </w:r>
            <w:r w:rsidR="00483906">
              <w:t>Let’s Travel students will</w:t>
            </w:r>
            <w:bookmarkStart w:id="0" w:name="_GoBack"/>
            <w:bookmarkEnd w:id="0"/>
            <w:r w:rsidR="00880209">
              <w:t xml:space="preserve">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3906"/>
    <w:rsid w:val="00484A7D"/>
    <w:rsid w:val="004D31A4"/>
    <w:rsid w:val="004D47EE"/>
    <w:rsid w:val="004F340A"/>
    <w:rsid w:val="004F4A3A"/>
    <w:rsid w:val="005213C7"/>
    <w:rsid w:val="00527504"/>
    <w:rsid w:val="00555CC1"/>
    <w:rsid w:val="005945F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84783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2</cp:revision>
  <cp:lastPrinted>2015-09-21T13:24:00Z</cp:lastPrinted>
  <dcterms:created xsi:type="dcterms:W3CDTF">2015-11-01T18:11:00Z</dcterms:created>
  <dcterms:modified xsi:type="dcterms:W3CDTF">2015-11-01T18:11:00Z</dcterms:modified>
</cp:coreProperties>
</file>